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37482" w14:textId="77777777" w:rsidR="007A2F15" w:rsidRDefault="007A2F15" w:rsidP="007A2F15">
      <w:pPr>
        <w:pStyle w:val="Title"/>
        <w:rPr>
          <w:lang w:eastAsia="en-GB"/>
        </w:rPr>
      </w:pPr>
      <w:r>
        <w:rPr>
          <w:lang w:eastAsia="en-GB"/>
        </w:rPr>
        <w:t>GDPR Compliance Statement</w:t>
      </w:r>
    </w:p>
    <w:p w14:paraId="5AE98A13" w14:textId="77777777" w:rsidR="007A2F15" w:rsidRDefault="007A2F15" w:rsidP="007A2F15">
      <w:pPr>
        <w:spacing w:after="150" w:line="390" w:lineRule="atLeast"/>
        <w:rPr>
          <w:rFonts w:ascii="Arial" w:hAnsi="Arial" w:cs="Arial"/>
          <w:color w:val="333333"/>
          <w:sz w:val="27"/>
          <w:szCs w:val="27"/>
          <w:lang w:eastAsia="en-GB"/>
        </w:rPr>
      </w:pPr>
    </w:p>
    <w:p w14:paraId="4C62D57D" w14:textId="77777777" w:rsidR="007A2F15" w:rsidRDefault="007A2F15" w:rsidP="007A2F15">
      <w:pPr>
        <w:spacing w:after="150" w:line="390" w:lineRule="atLeast"/>
        <w:rPr>
          <w:rFonts w:ascii="Arial" w:hAnsi="Arial" w:cs="Arial"/>
          <w:color w:val="333333"/>
          <w:sz w:val="27"/>
          <w:szCs w:val="27"/>
          <w:lang w:eastAsia="en-GB"/>
        </w:rPr>
      </w:pPr>
      <w:r>
        <w:rPr>
          <w:rFonts w:ascii="Arial" w:hAnsi="Arial" w:cs="Arial"/>
          <w:b/>
          <w:bCs/>
          <w:color w:val="333333"/>
          <w:sz w:val="27"/>
          <w:szCs w:val="27"/>
          <w:lang w:eastAsia="en-GB"/>
        </w:rPr>
        <w:t xml:space="preserve">Commitment  </w:t>
      </w:r>
    </w:p>
    <w:p w14:paraId="06A50D68" w14:textId="77777777" w:rsidR="007A2F15" w:rsidRDefault="007A2F15" w:rsidP="007A2F15">
      <w:pPr>
        <w:spacing w:after="150" w:line="390" w:lineRule="atLeast"/>
        <w:rPr>
          <w:rFonts w:ascii="Arial" w:hAnsi="Arial" w:cs="Arial"/>
          <w:color w:val="333333"/>
          <w:sz w:val="27"/>
          <w:szCs w:val="27"/>
          <w:lang w:eastAsia="en-GB"/>
        </w:rPr>
      </w:pPr>
      <w:r>
        <w:rPr>
          <w:rFonts w:ascii="Arial" w:hAnsi="Arial" w:cs="Arial"/>
          <w:color w:val="333333"/>
          <w:sz w:val="27"/>
          <w:szCs w:val="27"/>
          <w:lang w:eastAsia="en-GB"/>
        </w:rPr>
        <w:t xml:space="preserve">We are committed to the principles inherent in the GDPR and particularly to the concepts of privacy by design, the right to </w:t>
      </w:r>
      <w:proofErr w:type="gramStart"/>
      <w:r>
        <w:rPr>
          <w:rFonts w:ascii="Arial" w:hAnsi="Arial" w:cs="Arial"/>
          <w:color w:val="333333"/>
          <w:sz w:val="27"/>
          <w:szCs w:val="27"/>
          <w:lang w:eastAsia="en-GB"/>
        </w:rPr>
        <w:t>be forgotten</w:t>
      </w:r>
      <w:proofErr w:type="gramEnd"/>
      <w:r>
        <w:rPr>
          <w:rFonts w:ascii="Arial" w:hAnsi="Arial" w:cs="Arial"/>
          <w:color w:val="333333"/>
          <w:sz w:val="27"/>
          <w:szCs w:val="27"/>
          <w:lang w:eastAsia="en-GB"/>
        </w:rPr>
        <w:t>, consent and a risk-based approach. In addition, we aim to ensure:</w:t>
      </w:r>
    </w:p>
    <w:p w14:paraId="04FFFEF7" w14:textId="77777777" w:rsidR="007A2F15" w:rsidRDefault="007A2F15" w:rsidP="007A2F15">
      <w:pPr>
        <w:numPr>
          <w:ilvl w:val="0"/>
          <w:numId w:val="1"/>
        </w:numPr>
        <w:spacing w:before="100" w:beforeAutospacing="1" w:after="225" w:line="390" w:lineRule="atLeast"/>
        <w:ind w:left="495"/>
        <w:rPr>
          <w:rFonts w:ascii="Arial" w:hAnsi="Arial" w:cs="Arial"/>
          <w:color w:val="333333"/>
          <w:sz w:val="27"/>
          <w:szCs w:val="27"/>
          <w:lang w:eastAsia="en-GB"/>
        </w:rPr>
      </w:pPr>
      <w:r>
        <w:rPr>
          <w:rFonts w:ascii="Arial" w:hAnsi="Arial" w:cs="Arial"/>
          <w:color w:val="333333"/>
          <w:sz w:val="27"/>
          <w:szCs w:val="27"/>
          <w:lang w:eastAsia="en-GB"/>
        </w:rPr>
        <w:t>transparency with regard to the use of data</w:t>
      </w:r>
    </w:p>
    <w:p w14:paraId="6BE4F556" w14:textId="77777777" w:rsidR="007A2F15" w:rsidRDefault="007A2F15" w:rsidP="007A2F15">
      <w:pPr>
        <w:numPr>
          <w:ilvl w:val="0"/>
          <w:numId w:val="1"/>
        </w:numPr>
        <w:spacing w:before="100" w:beforeAutospacing="1" w:after="225" w:line="390" w:lineRule="atLeast"/>
        <w:ind w:left="495"/>
        <w:rPr>
          <w:rFonts w:ascii="Arial" w:hAnsi="Arial" w:cs="Arial"/>
          <w:color w:val="333333"/>
          <w:sz w:val="27"/>
          <w:szCs w:val="27"/>
          <w:lang w:eastAsia="en-GB"/>
        </w:rPr>
      </w:pPr>
      <w:r>
        <w:rPr>
          <w:rFonts w:ascii="Arial" w:hAnsi="Arial" w:cs="Arial"/>
          <w:color w:val="333333"/>
          <w:sz w:val="27"/>
          <w:szCs w:val="27"/>
          <w:lang w:eastAsia="en-GB"/>
        </w:rPr>
        <w:t>that any processing is lawful, fair, transparent and necessary for a specific purpose</w:t>
      </w:r>
    </w:p>
    <w:p w14:paraId="49A4D981" w14:textId="77777777" w:rsidR="007A2F15" w:rsidRDefault="007A2F15" w:rsidP="007A2F15">
      <w:pPr>
        <w:numPr>
          <w:ilvl w:val="0"/>
          <w:numId w:val="1"/>
        </w:numPr>
        <w:spacing w:before="100" w:beforeAutospacing="1" w:after="225" w:line="390" w:lineRule="atLeast"/>
        <w:ind w:left="495"/>
        <w:rPr>
          <w:rFonts w:ascii="Arial" w:hAnsi="Arial" w:cs="Arial"/>
          <w:color w:val="333333"/>
          <w:sz w:val="27"/>
          <w:szCs w:val="27"/>
          <w:lang w:eastAsia="en-GB"/>
        </w:rPr>
      </w:pPr>
      <w:r>
        <w:rPr>
          <w:rFonts w:ascii="Arial" w:hAnsi="Arial" w:cs="Arial"/>
          <w:color w:val="333333"/>
          <w:sz w:val="27"/>
          <w:szCs w:val="27"/>
          <w:lang w:eastAsia="en-GB"/>
        </w:rPr>
        <w:t>that data is accurate, kept up to date and removed when no longer necessary</w:t>
      </w:r>
    </w:p>
    <w:p w14:paraId="54390E0B" w14:textId="77777777" w:rsidR="007A2F15" w:rsidRDefault="007A2F15" w:rsidP="007A2F15">
      <w:pPr>
        <w:numPr>
          <w:ilvl w:val="0"/>
          <w:numId w:val="1"/>
        </w:numPr>
        <w:spacing w:before="100" w:beforeAutospacing="1" w:after="225" w:line="390" w:lineRule="atLeast"/>
        <w:ind w:left="495"/>
        <w:rPr>
          <w:rFonts w:ascii="Arial" w:hAnsi="Arial" w:cs="Arial"/>
          <w:color w:val="333333"/>
          <w:sz w:val="27"/>
          <w:szCs w:val="27"/>
          <w:lang w:eastAsia="en-GB"/>
        </w:rPr>
      </w:pPr>
      <w:proofErr w:type="gramStart"/>
      <w:r>
        <w:rPr>
          <w:rFonts w:ascii="Arial" w:hAnsi="Arial" w:cs="Arial"/>
          <w:color w:val="333333"/>
          <w:sz w:val="27"/>
          <w:szCs w:val="27"/>
          <w:lang w:eastAsia="en-GB"/>
        </w:rPr>
        <w:t>that</w:t>
      </w:r>
      <w:proofErr w:type="gramEnd"/>
      <w:r>
        <w:rPr>
          <w:rFonts w:ascii="Arial" w:hAnsi="Arial" w:cs="Arial"/>
          <w:color w:val="333333"/>
          <w:sz w:val="27"/>
          <w:szCs w:val="27"/>
          <w:lang w:eastAsia="en-GB"/>
        </w:rPr>
        <w:t xml:space="preserve"> data is kept safely and securely.</w:t>
      </w:r>
    </w:p>
    <w:p w14:paraId="2BDC9038" w14:textId="77777777" w:rsidR="007A2F15" w:rsidRDefault="007A2F15" w:rsidP="007A2F15">
      <w:pPr>
        <w:spacing w:after="150" w:line="390" w:lineRule="atLeast"/>
        <w:rPr>
          <w:rFonts w:ascii="Arial" w:hAnsi="Arial" w:cs="Arial"/>
          <w:color w:val="333333"/>
          <w:sz w:val="27"/>
          <w:szCs w:val="27"/>
          <w:lang w:eastAsia="en-GB"/>
        </w:rPr>
      </w:pPr>
      <w:r>
        <w:rPr>
          <w:rFonts w:ascii="Arial" w:hAnsi="Arial" w:cs="Arial"/>
          <w:b/>
          <w:bCs/>
          <w:color w:val="333333"/>
          <w:sz w:val="27"/>
          <w:szCs w:val="27"/>
          <w:lang w:eastAsia="en-GB"/>
        </w:rPr>
        <w:t> Staffing</w:t>
      </w:r>
    </w:p>
    <w:p w14:paraId="47956E1D" w14:textId="77777777" w:rsidR="007A2F15" w:rsidRDefault="007A2F15" w:rsidP="007A2F15">
      <w:pPr>
        <w:spacing w:after="150" w:line="390" w:lineRule="atLeast"/>
        <w:rPr>
          <w:rFonts w:ascii="Arial" w:hAnsi="Arial" w:cs="Arial"/>
          <w:color w:val="333333"/>
          <w:sz w:val="27"/>
          <w:szCs w:val="27"/>
          <w:lang w:eastAsia="en-GB"/>
        </w:rPr>
      </w:pPr>
      <w:r>
        <w:rPr>
          <w:rFonts w:ascii="Arial" w:hAnsi="Arial" w:cs="Arial"/>
          <w:color w:val="333333"/>
          <w:sz w:val="27"/>
          <w:szCs w:val="27"/>
          <w:lang w:eastAsia="en-GB"/>
        </w:rPr>
        <w:t>Our Data Protection Officer (HR) who works to promote awareness of the GDPR throughout the Airport. Our DPO (HR) oversees the Group’s commitment to best practice and inform and advise the Group and monitors compliance.</w:t>
      </w:r>
    </w:p>
    <w:p w14:paraId="4AAE2A19" w14:textId="77777777" w:rsidR="007A2F15" w:rsidRDefault="007A2F15" w:rsidP="007A2F15">
      <w:pPr>
        <w:spacing w:after="150" w:line="390" w:lineRule="atLeast"/>
        <w:rPr>
          <w:rFonts w:ascii="Arial" w:hAnsi="Arial" w:cs="Arial"/>
          <w:color w:val="333333"/>
          <w:sz w:val="27"/>
          <w:szCs w:val="27"/>
          <w:lang w:eastAsia="en-GB"/>
        </w:rPr>
      </w:pPr>
      <w:r>
        <w:rPr>
          <w:rFonts w:ascii="Arial" w:hAnsi="Arial" w:cs="Arial"/>
          <w:b/>
          <w:bCs/>
          <w:color w:val="333333"/>
          <w:sz w:val="27"/>
          <w:szCs w:val="27"/>
          <w:lang w:eastAsia="en-GB"/>
        </w:rPr>
        <w:t>Policy</w:t>
      </w:r>
    </w:p>
    <w:p w14:paraId="1691D993" w14:textId="77777777" w:rsidR="007A2F15" w:rsidRDefault="007A2F15" w:rsidP="007A2F15">
      <w:pPr>
        <w:spacing w:after="150" w:line="390" w:lineRule="atLeast"/>
        <w:rPr>
          <w:rFonts w:ascii="Arial" w:hAnsi="Arial" w:cs="Arial"/>
          <w:color w:val="333333"/>
          <w:sz w:val="27"/>
          <w:szCs w:val="27"/>
          <w:lang w:eastAsia="en-GB"/>
        </w:rPr>
      </w:pPr>
      <w:r>
        <w:rPr>
          <w:rFonts w:ascii="Arial" w:hAnsi="Arial" w:cs="Arial"/>
          <w:color w:val="333333"/>
          <w:sz w:val="27"/>
          <w:szCs w:val="27"/>
          <w:lang w:eastAsia="en-GB"/>
        </w:rPr>
        <w:t xml:space="preserve">Our privacy policy is available on our website and a copy </w:t>
      </w:r>
      <w:proofErr w:type="gramStart"/>
      <w:r>
        <w:rPr>
          <w:rFonts w:ascii="Arial" w:hAnsi="Arial" w:cs="Arial"/>
          <w:color w:val="333333"/>
          <w:sz w:val="27"/>
          <w:szCs w:val="27"/>
          <w:lang w:eastAsia="en-GB"/>
        </w:rPr>
        <w:t>has been made</w:t>
      </w:r>
      <w:proofErr w:type="gramEnd"/>
      <w:r>
        <w:rPr>
          <w:rFonts w:ascii="Arial" w:hAnsi="Arial" w:cs="Arial"/>
          <w:color w:val="333333"/>
          <w:sz w:val="27"/>
          <w:szCs w:val="27"/>
          <w:lang w:eastAsia="en-GB"/>
        </w:rPr>
        <w:t xml:space="preserve"> available to all employees and to contractors and suppliers associated with this organisation. It forms part of the induction training of all new staff and follow-up sessions </w:t>
      </w:r>
      <w:proofErr w:type="gramStart"/>
      <w:r>
        <w:rPr>
          <w:rFonts w:ascii="Arial" w:hAnsi="Arial" w:cs="Arial"/>
          <w:color w:val="333333"/>
          <w:sz w:val="27"/>
          <w:szCs w:val="27"/>
          <w:lang w:eastAsia="en-GB"/>
        </w:rPr>
        <w:t>will be put</w:t>
      </w:r>
      <w:proofErr w:type="gramEnd"/>
      <w:r>
        <w:rPr>
          <w:rFonts w:ascii="Arial" w:hAnsi="Arial" w:cs="Arial"/>
          <w:color w:val="333333"/>
          <w:sz w:val="27"/>
          <w:szCs w:val="27"/>
          <w:lang w:eastAsia="en-GB"/>
        </w:rPr>
        <w:t xml:space="preserve"> in place if the legislation changes or further guidance is available.</w:t>
      </w:r>
    </w:p>
    <w:p w14:paraId="7454A3BB" w14:textId="77777777" w:rsidR="007A2F15" w:rsidRDefault="007A2F15" w:rsidP="007A2F15">
      <w:pPr>
        <w:spacing w:after="150" w:line="390" w:lineRule="atLeast"/>
        <w:rPr>
          <w:rFonts w:ascii="Arial" w:hAnsi="Arial" w:cs="Arial"/>
          <w:color w:val="333333"/>
          <w:sz w:val="27"/>
          <w:szCs w:val="27"/>
          <w:lang w:eastAsia="en-GB"/>
        </w:rPr>
      </w:pPr>
      <w:r>
        <w:rPr>
          <w:rFonts w:ascii="Arial" w:hAnsi="Arial" w:cs="Arial"/>
          <w:b/>
          <w:bCs/>
          <w:color w:val="333333"/>
          <w:sz w:val="27"/>
          <w:szCs w:val="27"/>
          <w:lang w:eastAsia="en-GB"/>
        </w:rPr>
        <w:t xml:space="preserve">Right to </w:t>
      </w:r>
      <w:proofErr w:type="gramStart"/>
      <w:r>
        <w:rPr>
          <w:rFonts w:ascii="Arial" w:hAnsi="Arial" w:cs="Arial"/>
          <w:b/>
          <w:bCs/>
          <w:color w:val="333333"/>
          <w:sz w:val="27"/>
          <w:szCs w:val="27"/>
          <w:lang w:eastAsia="en-GB"/>
        </w:rPr>
        <w:t>be forgotten</w:t>
      </w:r>
      <w:proofErr w:type="gramEnd"/>
    </w:p>
    <w:p w14:paraId="6E1A3A23" w14:textId="77777777" w:rsidR="007A2F15" w:rsidRDefault="007A2F15" w:rsidP="007A2F15">
      <w:pPr>
        <w:spacing w:after="150" w:line="390" w:lineRule="atLeast"/>
        <w:rPr>
          <w:rFonts w:ascii="Arial" w:hAnsi="Arial" w:cs="Arial"/>
          <w:color w:val="333333"/>
          <w:sz w:val="27"/>
          <w:szCs w:val="27"/>
          <w:lang w:eastAsia="en-GB"/>
        </w:rPr>
      </w:pPr>
      <w:r>
        <w:rPr>
          <w:rFonts w:ascii="Arial" w:hAnsi="Arial" w:cs="Arial"/>
          <w:color w:val="333333"/>
          <w:sz w:val="27"/>
          <w:szCs w:val="27"/>
          <w:lang w:eastAsia="en-GB"/>
        </w:rPr>
        <w:t xml:space="preserve">We recognise the right to erasure, also known as the right to </w:t>
      </w:r>
      <w:proofErr w:type="gramStart"/>
      <w:r>
        <w:rPr>
          <w:rFonts w:ascii="Arial" w:hAnsi="Arial" w:cs="Arial"/>
          <w:color w:val="333333"/>
          <w:sz w:val="27"/>
          <w:szCs w:val="27"/>
          <w:lang w:eastAsia="en-GB"/>
        </w:rPr>
        <w:t>be forgotten</w:t>
      </w:r>
      <w:proofErr w:type="gramEnd"/>
      <w:r>
        <w:rPr>
          <w:rFonts w:ascii="Arial" w:hAnsi="Arial" w:cs="Arial"/>
          <w:color w:val="333333"/>
          <w:sz w:val="27"/>
          <w:szCs w:val="27"/>
          <w:lang w:eastAsia="en-GB"/>
        </w:rPr>
        <w:t>, laid down in the GDPR.</w:t>
      </w:r>
    </w:p>
    <w:p w14:paraId="7F353EA2" w14:textId="77777777" w:rsidR="007A2F15" w:rsidRDefault="007A2F15" w:rsidP="007A2F15">
      <w:pPr>
        <w:spacing w:after="150" w:line="390" w:lineRule="atLeast"/>
        <w:rPr>
          <w:rFonts w:ascii="Arial" w:hAnsi="Arial" w:cs="Arial"/>
          <w:color w:val="333333"/>
          <w:sz w:val="27"/>
          <w:szCs w:val="27"/>
          <w:lang w:eastAsia="en-GB"/>
        </w:rPr>
      </w:pPr>
      <w:r>
        <w:rPr>
          <w:rFonts w:ascii="Arial" w:hAnsi="Arial" w:cs="Arial"/>
          <w:b/>
          <w:bCs/>
          <w:color w:val="333333"/>
          <w:sz w:val="27"/>
          <w:szCs w:val="27"/>
          <w:lang w:eastAsia="en-GB"/>
        </w:rPr>
        <w:t>Subject access requests </w:t>
      </w:r>
    </w:p>
    <w:p w14:paraId="38B0B8AD" w14:textId="77777777" w:rsidR="007A2F15" w:rsidRDefault="007A2F15" w:rsidP="007A2F15">
      <w:pPr>
        <w:spacing w:after="150" w:line="390" w:lineRule="atLeast"/>
        <w:rPr>
          <w:rFonts w:ascii="Arial" w:hAnsi="Arial" w:cs="Arial"/>
          <w:color w:val="333333"/>
          <w:sz w:val="27"/>
          <w:szCs w:val="27"/>
          <w:lang w:eastAsia="en-GB"/>
        </w:rPr>
      </w:pPr>
      <w:r>
        <w:rPr>
          <w:rFonts w:ascii="Arial" w:hAnsi="Arial" w:cs="Arial"/>
          <w:color w:val="333333"/>
          <w:sz w:val="27"/>
          <w:szCs w:val="27"/>
          <w:lang w:eastAsia="en-GB"/>
        </w:rPr>
        <w:lastRenderedPageBreak/>
        <w:t xml:space="preserve">We recognise that individuals have the right to access their personal data and supplementary information and will comply with the </w:t>
      </w:r>
      <w:proofErr w:type="gramStart"/>
      <w:r>
        <w:rPr>
          <w:rFonts w:ascii="Arial" w:hAnsi="Arial" w:cs="Arial"/>
          <w:color w:val="333333"/>
          <w:sz w:val="27"/>
          <w:szCs w:val="27"/>
          <w:lang w:eastAsia="en-GB"/>
        </w:rPr>
        <w:t>one month</w:t>
      </w:r>
      <w:proofErr w:type="gramEnd"/>
      <w:r>
        <w:rPr>
          <w:rFonts w:ascii="Arial" w:hAnsi="Arial" w:cs="Arial"/>
          <w:color w:val="333333"/>
          <w:sz w:val="27"/>
          <w:szCs w:val="27"/>
          <w:lang w:eastAsia="en-GB"/>
        </w:rPr>
        <w:t xml:space="preserve"> timeframe for responses set down in the GDPR. </w:t>
      </w:r>
      <w:proofErr w:type="gramStart"/>
      <w:r>
        <w:rPr>
          <w:rFonts w:ascii="Arial" w:hAnsi="Arial" w:cs="Arial"/>
          <w:color w:val="333333"/>
          <w:sz w:val="27"/>
          <w:szCs w:val="27"/>
          <w:lang w:eastAsia="en-GB"/>
        </w:rPr>
        <w:t>As a general rule</w:t>
      </w:r>
      <w:proofErr w:type="gramEnd"/>
      <w:r>
        <w:rPr>
          <w:rFonts w:ascii="Arial" w:hAnsi="Arial" w:cs="Arial"/>
          <w:color w:val="333333"/>
          <w:sz w:val="27"/>
          <w:szCs w:val="27"/>
          <w:lang w:eastAsia="en-GB"/>
        </w:rPr>
        <w:t xml:space="preserve">, a copy of the requested information will be provided free of charge although we reserve the right to charge a “reasonable fee” when a request is manifestly unfounded or excessive, particularly if it is repetitive. If this proves necessary, the data subject </w:t>
      </w:r>
      <w:proofErr w:type="gramStart"/>
      <w:r>
        <w:rPr>
          <w:rFonts w:ascii="Arial" w:hAnsi="Arial" w:cs="Arial"/>
          <w:color w:val="333333"/>
          <w:sz w:val="27"/>
          <w:szCs w:val="27"/>
          <w:lang w:eastAsia="en-GB"/>
        </w:rPr>
        <w:t>will be informed</w:t>
      </w:r>
      <w:proofErr w:type="gramEnd"/>
      <w:r>
        <w:rPr>
          <w:rFonts w:ascii="Arial" w:hAnsi="Arial" w:cs="Arial"/>
          <w:color w:val="333333"/>
          <w:sz w:val="27"/>
          <w:szCs w:val="27"/>
          <w:lang w:eastAsia="en-GB"/>
        </w:rPr>
        <w:t xml:space="preserve"> of their right to contest our decision with the supervisory authority (the Information Commissioner’s Office (ICO)).</w:t>
      </w:r>
    </w:p>
    <w:p w14:paraId="6EA98702" w14:textId="77777777" w:rsidR="007A2F15" w:rsidRDefault="007A2F15" w:rsidP="007A2F15">
      <w:pPr>
        <w:spacing w:after="150" w:line="390" w:lineRule="atLeast"/>
        <w:rPr>
          <w:rFonts w:ascii="Arial" w:hAnsi="Arial" w:cs="Arial"/>
          <w:color w:val="333333"/>
          <w:sz w:val="27"/>
          <w:szCs w:val="27"/>
          <w:lang w:eastAsia="en-GB"/>
        </w:rPr>
      </w:pPr>
      <w:r>
        <w:rPr>
          <w:rFonts w:ascii="Arial" w:hAnsi="Arial" w:cs="Arial"/>
          <w:color w:val="333333"/>
          <w:sz w:val="27"/>
          <w:szCs w:val="27"/>
          <w:lang w:eastAsia="en-GB"/>
        </w:rPr>
        <w:t xml:space="preserve">As set out in the GDPR, any fee will </w:t>
      </w:r>
      <w:proofErr w:type="gramStart"/>
      <w:r>
        <w:rPr>
          <w:rFonts w:ascii="Arial" w:hAnsi="Arial" w:cs="Arial"/>
          <w:color w:val="333333"/>
          <w:sz w:val="27"/>
          <w:szCs w:val="27"/>
          <w:lang w:eastAsia="en-GB"/>
        </w:rPr>
        <w:t>be notifi</w:t>
      </w:r>
      <w:bookmarkStart w:id="0" w:name="_GoBack"/>
      <w:bookmarkEnd w:id="0"/>
      <w:r>
        <w:rPr>
          <w:rFonts w:ascii="Arial" w:hAnsi="Arial" w:cs="Arial"/>
          <w:color w:val="333333"/>
          <w:sz w:val="27"/>
          <w:szCs w:val="27"/>
          <w:lang w:eastAsia="en-GB"/>
        </w:rPr>
        <w:t>ed</w:t>
      </w:r>
      <w:proofErr w:type="gramEnd"/>
      <w:r>
        <w:rPr>
          <w:rFonts w:ascii="Arial" w:hAnsi="Arial" w:cs="Arial"/>
          <w:color w:val="333333"/>
          <w:sz w:val="27"/>
          <w:szCs w:val="27"/>
          <w:lang w:eastAsia="en-GB"/>
        </w:rPr>
        <w:t xml:space="preserve"> in advance and will be based on the administrative cost of providing the information.</w:t>
      </w:r>
    </w:p>
    <w:p w14:paraId="78AD4079" w14:textId="77777777" w:rsidR="007A2F15" w:rsidRDefault="007A2F15" w:rsidP="007A2F15">
      <w:pPr>
        <w:spacing w:after="150" w:line="390" w:lineRule="atLeast"/>
        <w:rPr>
          <w:rFonts w:ascii="Arial" w:hAnsi="Arial" w:cs="Arial"/>
          <w:color w:val="333333"/>
          <w:sz w:val="27"/>
          <w:szCs w:val="27"/>
          <w:lang w:eastAsia="en-GB"/>
        </w:rPr>
      </w:pPr>
      <w:r>
        <w:rPr>
          <w:rFonts w:ascii="Arial" w:hAnsi="Arial" w:cs="Arial"/>
          <w:b/>
          <w:bCs/>
          <w:color w:val="333333"/>
          <w:sz w:val="27"/>
          <w:szCs w:val="27"/>
          <w:lang w:eastAsia="en-GB"/>
        </w:rPr>
        <w:t>Privacy </w:t>
      </w:r>
    </w:p>
    <w:p w14:paraId="298F5FC3" w14:textId="77777777" w:rsidR="007A2F15" w:rsidRDefault="007A2F15" w:rsidP="007A2F15">
      <w:pPr>
        <w:spacing w:after="150" w:line="390" w:lineRule="atLeast"/>
        <w:rPr>
          <w:rFonts w:ascii="Arial" w:hAnsi="Arial" w:cs="Arial"/>
          <w:color w:val="333333"/>
          <w:sz w:val="27"/>
          <w:szCs w:val="27"/>
          <w:lang w:eastAsia="en-GB"/>
        </w:rPr>
      </w:pPr>
      <w:r>
        <w:rPr>
          <w:rFonts w:ascii="Arial" w:hAnsi="Arial" w:cs="Arial"/>
          <w:color w:val="333333"/>
          <w:sz w:val="27"/>
          <w:szCs w:val="27"/>
          <w:lang w:eastAsia="en-GB"/>
        </w:rPr>
        <w:t xml:space="preserve">We will implement data protection “by design and by default”, as required by the GDPR. Safeguards </w:t>
      </w:r>
      <w:proofErr w:type="gramStart"/>
      <w:r>
        <w:rPr>
          <w:rFonts w:ascii="Arial" w:hAnsi="Arial" w:cs="Arial"/>
          <w:color w:val="333333"/>
          <w:sz w:val="27"/>
          <w:szCs w:val="27"/>
          <w:lang w:eastAsia="en-GB"/>
        </w:rPr>
        <w:t>will be built</w:t>
      </w:r>
      <w:proofErr w:type="gramEnd"/>
      <w:r>
        <w:rPr>
          <w:rFonts w:ascii="Arial" w:hAnsi="Arial" w:cs="Arial"/>
          <w:color w:val="333333"/>
          <w:sz w:val="27"/>
          <w:szCs w:val="27"/>
          <w:lang w:eastAsia="en-GB"/>
        </w:rPr>
        <w:t xml:space="preserve"> into products and services from the earliest stage of development and privacy-friendly default settings will be the norm. The privacy notice, which is on our website and which </w:t>
      </w:r>
      <w:proofErr w:type="gramStart"/>
      <w:r>
        <w:rPr>
          <w:rFonts w:ascii="Arial" w:hAnsi="Arial" w:cs="Arial"/>
          <w:color w:val="333333"/>
          <w:sz w:val="27"/>
          <w:szCs w:val="27"/>
          <w:lang w:eastAsia="en-GB"/>
        </w:rPr>
        <w:t>is provided</w:t>
      </w:r>
      <w:proofErr w:type="gramEnd"/>
      <w:r>
        <w:rPr>
          <w:rFonts w:ascii="Arial" w:hAnsi="Arial" w:cs="Arial"/>
          <w:color w:val="333333"/>
          <w:sz w:val="27"/>
          <w:szCs w:val="27"/>
          <w:lang w:eastAsia="en-GB"/>
        </w:rPr>
        <w:t xml:space="preserve"> to anyone from whom we collect data, explains our lawful basis for processing the data and gives the data retention periods. It makes clear that individuals have a right to complain to the ICO. We have conducted a privacy impact assessment (PIA) to ensure that privacy risks have been properly considered and addressed.</w:t>
      </w:r>
    </w:p>
    <w:p w14:paraId="7C5994C7" w14:textId="77777777" w:rsidR="007A2F15" w:rsidRDefault="007A2F15" w:rsidP="007A2F15">
      <w:pPr>
        <w:spacing w:after="150" w:line="390" w:lineRule="atLeast"/>
        <w:rPr>
          <w:rFonts w:ascii="Arial" w:hAnsi="Arial" w:cs="Arial"/>
          <w:color w:val="333333"/>
          <w:sz w:val="27"/>
          <w:szCs w:val="27"/>
          <w:lang w:eastAsia="en-GB"/>
        </w:rPr>
      </w:pPr>
      <w:r>
        <w:rPr>
          <w:rFonts w:ascii="Arial" w:hAnsi="Arial" w:cs="Arial"/>
          <w:b/>
          <w:bCs/>
          <w:color w:val="333333"/>
          <w:sz w:val="27"/>
          <w:szCs w:val="27"/>
          <w:lang w:eastAsia="en-GB"/>
        </w:rPr>
        <w:t>Data transfers outside the EU</w:t>
      </w:r>
    </w:p>
    <w:p w14:paraId="13AD8770" w14:textId="77777777" w:rsidR="007A2F15" w:rsidRDefault="007A2F15" w:rsidP="007A2F15">
      <w:pPr>
        <w:spacing w:after="150" w:line="390" w:lineRule="atLeast"/>
        <w:rPr>
          <w:rFonts w:ascii="Arial" w:hAnsi="Arial" w:cs="Arial"/>
          <w:color w:val="333333"/>
          <w:sz w:val="27"/>
          <w:szCs w:val="27"/>
          <w:lang w:eastAsia="en-GB"/>
        </w:rPr>
      </w:pPr>
      <w:r>
        <w:rPr>
          <w:rFonts w:ascii="Arial" w:hAnsi="Arial" w:cs="Arial"/>
          <w:color w:val="333333"/>
          <w:sz w:val="27"/>
          <w:szCs w:val="27"/>
          <w:lang w:eastAsia="en-GB"/>
        </w:rPr>
        <w:t xml:space="preserve">We have put recognised procedures and safeguarding measures in place to secure, encrypt and maintain the integrity of any personal data that </w:t>
      </w:r>
      <w:proofErr w:type="gramStart"/>
      <w:r>
        <w:rPr>
          <w:rFonts w:ascii="Arial" w:hAnsi="Arial" w:cs="Arial"/>
          <w:color w:val="333333"/>
          <w:sz w:val="27"/>
          <w:szCs w:val="27"/>
          <w:lang w:eastAsia="en-GB"/>
        </w:rPr>
        <w:t>is transferred</w:t>
      </w:r>
      <w:proofErr w:type="gramEnd"/>
      <w:r>
        <w:rPr>
          <w:rFonts w:ascii="Arial" w:hAnsi="Arial" w:cs="Arial"/>
          <w:color w:val="333333"/>
          <w:sz w:val="27"/>
          <w:szCs w:val="27"/>
          <w:lang w:eastAsia="en-GB"/>
        </w:rPr>
        <w:t xml:space="preserve"> to countries outside the EU. Diligence checks </w:t>
      </w:r>
      <w:proofErr w:type="gramStart"/>
      <w:r>
        <w:rPr>
          <w:rFonts w:ascii="Arial" w:hAnsi="Arial" w:cs="Arial"/>
          <w:color w:val="333333"/>
          <w:sz w:val="27"/>
          <w:szCs w:val="27"/>
          <w:lang w:eastAsia="en-GB"/>
        </w:rPr>
        <w:t>are carried out</w:t>
      </w:r>
      <w:proofErr w:type="gramEnd"/>
      <w:r>
        <w:rPr>
          <w:rFonts w:ascii="Arial" w:hAnsi="Arial" w:cs="Arial"/>
          <w:color w:val="333333"/>
          <w:sz w:val="27"/>
          <w:szCs w:val="27"/>
          <w:lang w:eastAsia="en-GB"/>
        </w:rPr>
        <w:t xml:space="preserve"> to ensure that such countries have the necessary safeguards in place, provide enforceable data subject rights and offer effective legal remedies for data subjects where applicable.</w:t>
      </w:r>
    </w:p>
    <w:p w14:paraId="033191F5" w14:textId="77777777" w:rsidR="007A2F15" w:rsidRDefault="007A2F15" w:rsidP="007A2F15">
      <w:pPr>
        <w:spacing w:after="150" w:line="390" w:lineRule="atLeast"/>
        <w:rPr>
          <w:rFonts w:ascii="Arial" w:hAnsi="Arial" w:cs="Arial"/>
          <w:color w:val="333333"/>
          <w:sz w:val="27"/>
          <w:szCs w:val="27"/>
          <w:lang w:eastAsia="en-GB"/>
        </w:rPr>
      </w:pPr>
      <w:r>
        <w:rPr>
          <w:rFonts w:ascii="Arial" w:hAnsi="Arial" w:cs="Arial"/>
          <w:b/>
          <w:bCs/>
          <w:color w:val="333333"/>
          <w:sz w:val="27"/>
          <w:szCs w:val="27"/>
          <w:lang w:eastAsia="en-GB"/>
        </w:rPr>
        <w:t>Data loss</w:t>
      </w:r>
    </w:p>
    <w:p w14:paraId="1FB9154F" w14:textId="77777777" w:rsidR="007A2F15" w:rsidRDefault="007A2F15" w:rsidP="007A2F15">
      <w:pPr>
        <w:spacing w:after="150" w:line="390" w:lineRule="atLeast"/>
        <w:rPr>
          <w:rFonts w:ascii="Arial" w:hAnsi="Arial" w:cs="Arial"/>
          <w:color w:val="333333"/>
          <w:sz w:val="27"/>
          <w:szCs w:val="27"/>
          <w:lang w:eastAsia="en-GB"/>
        </w:rPr>
      </w:pPr>
      <w:r>
        <w:rPr>
          <w:rFonts w:ascii="Arial" w:hAnsi="Arial" w:cs="Arial"/>
          <w:color w:val="333333"/>
          <w:sz w:val="27"/>
          <w:szCs w:val="27"/>
          <w:lang w:eastAsia="en-GB"/>
        </w:rPr>
        <w:t>If a data breach occurs that is likely to result in a risk to the rights and freedoms of individuals, the people affected will be informed as soon as possible and the ICO will be notified within 72 hours.</w:t>
      </w:r>
    </w:p>
    <w:p w14:paraId="1A733F1C" w14:textId="77777777" w:rsidR="007A2F15" w:rsidRDefault="007A2F15" w:rsidP="007A2F15"/>
    <w:p w14:paraId="5248E39F" w14:textId="77777777" w:rsidR="00633AE9" w:rsidRDefault="007A2F15"/>
    <w:sectPr w:rsidR="00633A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64B89"/>
    <w:multiLevelType w:val="multilevel"/>
    <w:tmpl w:val="388E1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F15"/>
    <w:rsid w:val="00444F43"/>
    <w:rsid w:val="007A2F15"/>
    <w:rsid w:val="00814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B3DF"/>
  <w15:chartTrackingRefBased/>
  <w15:docId w15:val="{7851D911-CFF2-4D79-8953-71F76760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F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2F1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2F1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10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07997AD3A3974DB64C4CAB9438FE59" ma:contentTypeVersion="11" ma:contentTypeDescription="Create a new document." ma:contentTypeScope="" ma:versionID="07e651040defc21b4c221092311b3ffb">
  <xsd:schema xmlns:xsd="http://www.w3.org/2001/XMLSchema" xmlns:xs="http://www.w3.org/2001/XMLSchema" xmlns:p="http://schemas.microsoft.com/office/2006/metadata/properties" xmlns:ns3="e9780cab-beab-46ae-8c45-14380e9421e3" xmlns:ns4="b02a2e6d-94b9-4d43-8427-e98c51604dce" targetNamespace="http://schemas.microsoft.com/office/2006/metadata/properties" ma:root="true" ma:fieldsID="03751caf0d58703c17da4f7ac5e97643" ns3:_="" ns4:_="">
    <xsd:import namespace="e9780cab-beab-46ae-8c45-14380e9421e3"/>
    <xsd:import namespace="b02a2e6d-94b9-4d43-8427-e98c51604d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80cab-beab-46ae-8c45-14380e9421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2a2e6d-94b9-4d43-8427-e98c51604d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79A38E-4D16-4D5D-810C-1F96FDC50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80cab-beab-46ae-8c45-14380e9421e3"/>
    <ds:schemaRef ds:uri="b02a2e6d-94b9-4d43-8427-e98c51604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E8F436-6410-4AA7-8987-17BF0D42B2AC}">
  <ds:schemaRefs>
    <ds:schemaRef ds:uri="http://schemas.microsoft.com/sharepoint/v3/contenttype/forms"/>
  </ds:schemaRefs>
</ds:datastoreItem>
</file>

<file path=customXml/itemProps3.xml><?xml version="1.0" encoding="utf-8"?>
<ds:datastoreItem xmlns:ds="http://schemas.openxmlformats.org/officeDocument/2006/customXml" ds:itemID="{CCD597DE-647C-47A9-9E3A-3F7504C941C4}">
  <ds:schemaRefs>
    <ds:schemaRef ds:uri="http://schemas.microsoft.com/office/2006/documentManagement/types"/>
    <ds:schemaRef ds:uri="http://schemas.microsoft.com/office/2006/metadata/properties"/>
    <ds:schemaRef ds:uri="e9780cab-beab-46ae-8c45-14380e9421e3"/>
    <ds:schemaRef ds:uri="http://purl.org/dc/terms/"/>
    <ds:schemaRef ds:uri="http://schemas.openxmlformats.org/package/2006/metadata/core-properties"/>
    <ds:schemaRef ds:uri="http://purl.org/dc/dcmitype/"/>
    <ds:schemaRef ds:uri="http://schemas.microsoft.com/office/infopath/2007/PartnerControls"/>
    <ds:schemaRef ds:uri="b02a2e6d-94b9-4d43-8427-e98c51604dc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Jess</dc:creator>
  <cp:keywords/>
  <dc:description/>
  <cp:lastModifiedBy>Morgan, Jess</cp:lastModifiedBy>
  <cp:revision>1</cp:revision>
  <dcterms:created xsi:type="dcterms:W3CDTF">2019-12-03T09:14:00Z</dcterms:created>
  <dcterms:modified xsi:type="dcterms:W3CDTF">2019-12-03T09:21:00Z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0x0101001F07997AD3A3974DB64C4CAB9438FE59</vt:lpwstr>
  </property>
</Properties>
</file>